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65" w:rsidRPr="004A0F65" w:rsidRDefault="001C274A" w:rsidP="004A0F65">
      <w:pPr>
        <w:shd w:val="clear" w:color="auto" w:fill="FFFFFF"/>
        <w:spacing w:after="225" w:line="240" w:lineRule="auto"/>
        <w:outlineLvl w:val="3"/>
        <w:rPr>
          <w:rFonts w:ascii="Helvetica" w:eastAsia="Times New Roman" w:hAnsi="Helvetica" w:cs="Helvetica"/>
          <w:b/>
          <w:bCs/>
          <w:color w:val="4B565B"/>
          <w:sz w:val="24"/>
          <w:szCs w:val="24"/>
          <w:lang w:eastAsia="en-NZ"/>
        </w:rPr>
      </w:pPr>
      <w:r w:rsidRPr="00CA7493">
        <w:rPr>
          <w:rFonts w:eastAsia="Times New Roman" w:cs="Times New Roman"/>
          <w:noProof/>
          <w:color w:val="333E48"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 wp14:anchorId="35F04371" wp14:editId="5D5807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9300" cy="1924050"/>
            <wp:effectExtent l="0" t="0" r="0" b="0"/>
            <wp:wrapSquare wrapText="bothSides"/>
            <wp:docPr id="2" name="Picture 2" descr="C:\Users\Susan\Desktop\working 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Desktop\working w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65" w:rsidRPr="004A0F65">
        <w:rPr>
          <w:rFonts w:ascii="Helvetica" w:eastAsia="Times New Roman" w:hAnsi="Helvetica" w:cs="Helvetica"/>
          <w:b/>
          <w:bCs/>
          <w:color w:val="4B565B"/>
          <w:sz w:val="24"/>
          <w:szCs w:val="24"/>
          <w:lang w:eastAsia="en-NZ"/>
        </w:rPr>
        <w:t>The Mental Health Foundation’s </w:t>
      </w:r>
      <w:hyperlink r:id="rId6" w:tgtFrame="_blank" w:history="1">
        <w:r w:rsidR="004A0F65" w:rsidRPr="00CA7493">
          <w:rPr>
            <w:rFonts w:ascii="Helvetica" w:eastAsia="Times New Roman" w:hAnsi="Helvetica" w:cs="Helvetica"/>
            <w:b/>
            <w:bCs/>
            <w:color w:val="6AA7D8"/>
            <w:sz w:val="24"/>
            <w:szCs w:val="24"/>
            <w:lang w:eastAsia="en-NZ"/>
          </w:rPr>
          <w:t>Working Well Guide</w:t>
        </w:r>
      </w:hyperlink>
      <w:r w:rsidR="004A0F65" w:rsidRPr="004A0F65">
        <w:rPr>
          <w:rFonts w:ascii="Helvetica" w:eastAsia="Times New Roman" w:hAnsi="Helvetica" w:cs="Helvetica"/>
          <w:b/>
          <w:bCs/>
          <w:color w:val="4B565B"/>
          <w:sz w:val="24"/>
          <w:szCs w:val="24"/>
          <w:lang w:eastAsia="en-NZ"/>
        </w:rPr>
        <w:t> and resources provide organisations with the tools to create a culture that enhances and protects people’s mental health. Good mental health leads to better engagement, reduced absenteeism and higher productivity, while improving people’s wellbeing, morale and job satisfaction.</w:t>
      </w:r>
    </w:p>
    <w:p w:rsidR="00170646" w:rsidRDefault="004A0F65" w:rsidP="004A0F6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</w:pPr>
      <w:r w:rsidRPr="004A0F65"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  <w:t xml:space="preserve">The MHF developed a comprehensive guide to enhancing mental wellbeing in the workplace, the Working Well Guide. </w:t>
      </w:r>
      <w:r w:rsidR="00170646"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  <w:t>T</w:t>
      </w:r>
      <w:r w:rsidRPr="004A0F65"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  <w:t xml:space="preserve">he guide </w:t>
      </w:r>
      <w:r w:rsidR="00170646"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  <w:t>is divided into</w:t>
      </w:r>
      <w:r w:rsidRPr="004A0F65"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  <w:t xml:space="preserve"> practical and accessible topics and resources to support </w:t>
      </w:r>
      <w:r w:rsidR="00170646"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  <w:t>workplaces t</w:t>
      </w:r>
      <w:r w:rsidRPr="004A0F65"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  <w:t xml:space="preserve">o act on the information. </w:t>
      </w:r>
    </w:p>
    <w:p w:rsidR="004A0F65" w:rsidRPr="004A0F65" w:rsidRDefault="004A0F65" w:rsidP="004A0F6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</w:pPr>
      <w:r w:rsidRPr="004A0F65"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  <w:t>These resources including fact sheets, worksheets and slides support workplaces to improve wellbeing at individual, team and systems levels with a focus on creating psychologically safe, supportive and strong environments, and people. They allow organisations to identify and address potential psychosocial risks.</w:t>
      </w:r>
    </w:p>
    <w:p w:rsidR="00D97E3F" w:rsidRDefault="004A0F65" w:rsidP="00D97E3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</w:pPr>
      <w:r w:rsidRPr="004A0F65"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  <w:t>Practical, evidence-based information and engaging activities help workplaces and their people develop a shared understanding of mental health, identify opportunities to protect and enhance mental wellbeing, and take positive action</w:t>
      </w:r>
    </w:p>
    <w:p w:rsidR="00D97E3F" w:rsidRPr="00D97E3F" w:rsidRDefault="00170646" w:rsidP="00D97E3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</w:pPr>
      <w:r>
        <w:rPr>
          <w:rFonts w:ascii="Helvetica" w:eastAsia="Times New Roman" w:hAnsi="Helvetica" w:cs="Helvetica"/>
          <w:b/>
          <w:bCs/>
          <w:color w:val="4B565B"/>
          <w:sz w:val="35"/>
          <w:szCs w:val="35"/>
          <w:lang w:eastAsia="en-NZ"/>
        </w:rPr>
        <w:t xml:space="preserve">Workshops / </w:t>
      </w:r>
      <w:r w:rsidR="00D97E3F">
        <w:rPr>
          <w:rFonts w:ascii="Helvetica" w:eastAsia="Times New Roman" w:hAnsi="Helvetica" w:cs="Helvetica"/>
          <w:b/>
          <w:bCs/>
          <w:color w:val="4B565B"/>
          <w:sz w:val="35"/>
          <w:szCs w:val="35"/>
          <w:lang w:eastAsia="en-NZ"/>
        </w:rPr>
        <w:t>R</w:t>
      </w:r>
      <w:r w:rsidR="00D97E3F" w:rsidRPr="00D97E3F">
        <w:rPr>
          <w:rFonts w:ascii="Helvetica" w:eastAsia="Times New Roman" w:hAnsi="Helvetica" w:cs="Helvetica"/>
          <w:b/>
          <w:bCs/>
          <w:color w:val="4B565B"/>
          <w:sz w:val="35"/>
          <w:szCs w:val="35"/>
          <w:lang w:eastAsia="en-NZ"/>
        </w:rPr>
        <w:t>esources</w:t>
      </w:r>
    </w:p>
    <w:p w:rsidR="00D97E3F" w:rsidRPr="00D97E3F" w:rsidRDefault="00D97E3F" w:rsidP="00D97E3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</w:pPr>
      <w:hyperlink r:id="rId7" w:anchor="create" w:history="1">
        <w:r w:rsidRPr="00D97E3F">
          <w:rPr>
            <w:rFonts w:ascii="Helvetica" w:eastAsia="Times New Roman" w:hAnsi="Helvetica" w:cs="Helvetica"/>
            <w:color w:val="6AA7D8"/>
            <w:sz w:val="23"/>
            <w:szCs w:val="23"/>
            <w:lang w:eastAsia="en-NZ"/>
          </w:rPr>
          <w:t>1. Creating positive environments for mental wellbeing – the what, why and how</w:t>
        </w:r>
      </w:hyperlink>
      <w:r w:rsidRPr="00D97E3F"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  <w:br/>
      </w:r>
      <w:hyperlink r:id="rId8" w:anchor="enhance" w:history="1">
        <w:r w:rsidRPr="00D97E3F">
          <w:rPr>
            <w:rFonts w:ascii="Helvetica" w:eastAsia="Times New Roman" w:hAnsi="Helvetica" w:cs="Helvetica"/>
            <w:color w:val="6AA7D8"/>
            <w:sz w:val="23"/>
            <w:szCs w:val="23"/>
            <w:lang w:eastAsia="en-NZ"/>
          </w:rPr>
          <w:t>2. Enhancing mental wellbeing – Five Ways to Wellbeing at Work</w:t>
        </w:r>
      </w:hyperlink>
      <w:r w:rsidRPr="00D97E3F"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  <w:br/>
      </w:r>
      <w:hyperlink r:id="rId9" w:anchor="minimise" w:history="1">
        <w:r w:rsidRPr="00D97E3F">
          <w:rPr>
            <w:rFonts w:ascii="Helvetica" w:eastAsia="Times New Roman" w:hAnsi="Helvetica" w:cs="Helvetica"/>
            <w:color w:val="6AA7D8"/>
            <w:sz w:val="23"/>
            <w:szCs w:val="23"/>
            <w:lang w:eastAsia="en-NZ"/>
          </w:rPr>
          <w:t>3. Minimising and managing workplace stress</w:t>
        </w:r>
        <w:r w:rsidRPr="00D97E3F">
          <w:rPr>
            <w:rFonts w:ascii="Helvetica" w:eastAsia="Times New Roman" w:hAnsi="Helvetica" w:cs="Helvetica"/>
            <w:color w:val="6AA7D8"/>
            <w:sz w:val="23"/>
            <w:szCs w:val="23"/>
            <w:lang w:eastAsia="en-NZ"/>
          </w:rPr>
          <w:br/>
        </w:r>
      </w:hyperlink>
      <w:hyperlink r:id="rId10" w:anchor="positive" w:history="1">
        <w:r w:rsidRPr="00D97E3F">
          <w:rPr>
            <w:rFonts w:ascii="Helvetica" w:eastAsia="Times New Roman" w:hAnsi="Helvetica" w:cs="Helvetica"/>
            <w:color w:val="6AA7D8"/>
            <w:sz w:val="23"/>
            <w:szCs w:val="23"/>
            <w:lang w:eastAsia="en-NZ"/>
          </w:rPr>
          <w:t>4. Positive communication at work</w:t>
        </w:r>
      </w:hyperlink>
      <w:r w:rsidRPr="00D97E3F"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  <w:br/>
      </w:r>
      <w:hyperlink r:id="rId11" w:anchor="bullying" w:history="1">
        <w:r w:rsidRPr="00D97E3F">
          <w:rPr>
            <w:rFonts w:ascii="Helvetica" w:eastAsia="Times New Roman" w:hAnsi="Helvetica" w:cs="Helvetica"/>
            <w:color w:val="6AA7D8"/>
            <w:sz w:val="23"/>
            <w:szCs w:val="23"/>
            <w:lang w:eastAsia="en-NZ"/>
          </w:rPr>
          <w:t>5. Workplace bullying prevention</w:t>
        </w:r>
      </w:hyperlink>
      <w:r w:rsidRPr="00D97E3F">
        <w:rPr>
          <w:rFonts w:ascii="Helvetica" w:eastAsia="Times New Roman" w:hAnsi="Helvetica" w:cs="Helvetica"/>
          <w:color w:val="4B565B"/>
          <w:sz w:val="23"/>
          <w:szCs w:val="23"/>
          <w:lang w:eastAsia="en-NZ"/>
        </w:rPr>
        <w:t>  </w:t>
      </w:r>
    </w:p>
    <w:p w:rsidR="00170646" w:rsidRPr="00470B56" w:rsidRDefault="00170646">
      <w:pPr>
        <w:rPr>
          <w:rFonts w:ascii="Candara" w:hAnsi="Candara"/>
          <w:sz w:val="24"/>
          <w:szCs w:val="24"/>
        </w:rPr>
      </w:pPr>
      <w:r w:rsidRPr="00470B56">
        <w:rPr>
          <w:rFonts w:ascii="Candara" w:hAnsi="Candara"/>
          <w:sz w:val="24"/>
          <w:szCs w:val="24"/>
        </w:rPr>
        <w:t>If your community group or small business would like support to run a workshop or if you are interested in attending a workshop that will help you to create a mentally healthy workplace then please contact</w:t>
      </w:r>
    </w:p>
    <w:p w:rsidR="00170646" w:rsidRPr="00470B56" w:rsidRDefault="00170646">
      <w:pPr>
        <w:rPr>
          <w:rFonts w:ascii="Candara" w:hAnsi="Candara"/>
          <w:sz w:val="24"/>
          <w:szCs w:val="24"/>
        </w:rPr>
      </w:pPr>
      <w:r w:rsidRPr="00470B56">
        <w:rPr>
          <w:rFonts w:ascii="Candara" w:hAnsi="Candara"/>
          <w:sz w:val="24"/>
          <w:szCs w:val="24"/>
        </w:rPr>
        <w:t>Susan Booth, Positive Workplaces, 021 112 7296</w:t>
      </w:r>
    </w:p>
    <w:p w:rsidR="00170646" w:rsidRPr="00470B56" w:rsidRDefault="00170646">
      <w:pPr>
        <w:rPr>
          <w:rFonts w:ascii="Candara" w:hAnsi="Candara"/>
          <w:sz w:val="24"/>
          <w:szCs w:val="24"/>
        </w:rPr>
      </w:pPr>
      <w:r w:rsidRPr="00470B56">
        <w:rPr>
          <w:rFonts w:ascii="Candara" w:hAnsi="Candara"/>
          <w:sz w:val="24"/>
          <w:szCs w:val="24"/>
        </w:rPr>
        <w:t>susan.positiveworkplaces@gmail.com</w:t>
      </w:r>
      <w:bookmarkStart w:id="0" w:name="_GoBack"/>
      <w:bookmarkEnd w:id="0"/>
    </w:p>
    <w:sectPr w:rsidR="00170646" w:rsidRPr="00470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01"/>
    <w:rsid w:val="00170646"/>
    <w:rsid w:val="001C274A"/>
    <w:rsid w:val="00470B56"/>
    <w:rsid w:val="004A0F65"/>
    <w:rsid w:val="004B1FFC"/>
    <w:rsid w:val="00836401"/>
    <w:rsid w:val="00963643"/>
    <w:rsid w:val="00997D26"/>
    <w:rsid w:val="00B504BA"/>
    <w:rsid w:val="00CA7493"/>
    <w:rsid w:val="00D97E3F"/>
    <w:rsid w:val="00F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health.org.nz/home/our-work/category/44/working-well-guide-and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ntalhealth.org.nz/home/our-work/category/44/working-well-guide-and-resourc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ntalhealth.org.nz/assets/Working-Well/Working-Well-guide.pdf" TargetMode="External"/><Relationship Id="rId11" Type="http://schemas.openxmlformats.org/officeDocument/2006/relationships/hyperlink" Target="https://www.mentalhealth.org.nz/home/our-work/category/44/working-well-guide-and-resourc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entalhealth.org.nz/home/our-work/category/44/working-well-guide-and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talhealth.org.nz/home/our-work/category/44/working-well-guide-an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7</cp:revision>
  <dcterms:created xsi:type="dcterms:W3CDTF">2019-05-07T01:43:00Z</dcterms:created>
  <dcterms:modified xsi:type="dcterms:W3CDTF">2019-05-07T02:12:00Z</dcterms:modified>
</cp:coreProperties>
</file>